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20D3" w14:textId="77777777" w:rsidR="00C850CC" w:rsidRPr="00825129" w:rsidRDefault="00C850CC" w:rsidP="00C850CC">
      <w:pPr>
        <w:spacing w:after="0" w:line="240" w:lineRule="auto"/>
        <w:contextualSpacing/>
        <w:jc w:val="center"/>
        <w:rPr>
          <w:rFonts w:eastAsiaTheme="majorEastAsia" w:cstheme="minorHAnsi"/>
          <w:b/>
          <w:caps/>
          <w:spacing w:val="-10"/>
        </w:rPr>
      </w:pPr>
      <w:r w:rsidRPr="00825129">
        <w:rPr>
          <w:rFonts w:eastAsiaTheme="majorEastAsia" w:cstheme="minorHAnsi"/>
          <w:b/>
          <w:caps/>
          <w:spacing w:val="-10"/>
        </w:rPr>
        <w:t>Schedule ‘B’</w:t>
      </w:r>
    </w:p>
    <w:p w14:paraId="75592959" w14:textId="77777777" w:rsidR="00C850CC" w:rsidRPr="00825129" w:rsidRDefault="00C850CC" w:rsidP="00C850CC">
      <w:pPr>
        <w:numPr>
          <w:ilvl w:val="1"/>
          <w:numId w:val="0"/>
        </w:numPr>
        <w:spacing w:after="0"/>
        <w:jc w:val="center"/>
        <w:rPr>
          <w:rFonts w:eastAsiaTheme="majorEastAsia" w:cstheme="minorHAnsi"/>
          <w:b/>
          <w:smallCaps/>
        </w:rPr>
      </w:pPr>
    </w:p>
    <w:p w14:paraId="0AB217AB" w14:textId="77777777" w:rsidR="00C850CC" w:rsidRDefault="00C850CC" w:rsidP="00C850CC">
      <w:pPr>
        <w:numPr>
          <w:ilvl w:val="1"/>
          <w:numId w:val="0"/>
        </w:numPr>
        <w:jc w:val="center"/>
        <w:rPr>
          <w:rFonts w:eastAsiaTheme="majorEastAsia" w:cstheme="minorHAnsi"/>
          <w:b/>
          <w:bCs/>
          <w:smallCaps/>
        </w:rPr>
      </w:pPr>
      <w:r>
        <w:rPr>
          <w:rFonts w:eastAsiaTheme="majorEastAsia" w:cstheme="minorHAnsi"/>
          <w:b/>
          <w:bCs/>
          <w:smallCaps/>
        </w:rPr>
        <w:t>SCOPE OF WORK</w:t>
      </w:r>
    </w:p>
    <w:p w14:paraId="78942E58" w14:textId="50DB5E00" w:rsidR="00C850CC" w:rsidRPr="00825129" w:rsidRDefault="00C850CC" w:rsidP="00C850CC">
      <w:pPr>
        <w:numPr>
          <w:ilvl w:val="1"/>
          <w:numId w:val="0"/>
        </w:numPr>
        <w:jc w:val="center"/>
        <w:rPr>
          <w:rFonts w:eastAsiaTheme="majorEastAsia" w:cstheme="minorHAnsi"/>
          <w:b/>
          <w:bCs/>
          <w:smallCaps/>
        </w:rPr>
      </w:pPr>
      <w:r w:rsidRPr="00825129">
        <w:rPr>
          <w:rFonts w:eastAsiaTheme="majorEastAsia" w:cstheme="minorHAnsi"/>
          <w:b/>
          <w:bCs/>
          <w:smallCaps/>
        </w:rPr>
        <w:t xml:space="preserve"> </w:t>
      </w:r>
      <w:r w:rsidRPr="00825129">
        <w:rPr>
          <w:rFonts w:eastAsiaTheme="majorEastAsia" w:cstheme="minorHAnsi"/>
          <w:b/>
          <w:bCs/>
          <w:smallCaps/>
          <w:noProof/>
        </w:rPr>
        <w:t>Window Cleaning</w:t>
      </w:r>
    </w:p>
    <w:p w14:paraId="67C2DF47" w14:textId="77777777" w:rsidR="00C850CC" w:rsidRPr="00825129" w:rsidRDefault="00C850CC" w:rsidP="00C850CC">
      <w:pPr>
        <w:numPr>
          <w:ilvl w:val="0"/>
          <w:numId w:val="1"/>
        </w:numPr>
        <w:jc w:val="both"/>
        <w:rPr>
          <w:rFonts w:eastAsiaTheme="minorEastAsia" w:cstheme="minorHAnsi"/>
        </w:rPr>
      </w:pPr>
      <w:r w:rsidRPr="00825129">
        <w:rPr>
          <w:rFonts w:eastAsiaTheme="minorEastAsia" w:cstheme="minorHAnsi"/>
        </w:rPr>
        <w:t>The Contractor shall provide all labour, tools, and materials to do a complete interior and exterior Window Cleaning job as per the Owners drawings. The Owner shall provide power and water to the Contractor.</w:t>
      </w:r>
    </w:p>
    <w:p w14:paraId="39FC83A1" w14:textId="77777777" w:rsidR="00C850CC" w:rsidRPr="00825129" w:rsidRDefault="00C850CC" w:rsidP="00C850CC">
      <w:pPr>
        <w:numPr>
          <w:ilvl w:val="0"/>
          <w:numId w:val="1"/>
        </w:numPr>
        <w:jc w:val="both"/>
        <w:rPr>
          <w:rFonts w:eastAsiaTheme="minorEastAsia" w:cstheme="minorHAnsi"/>
        </w:rPr>
      </w:pPr>
      <w:r w:rsidRPr="00825129">
        <w:rPr>
          <w:rFonts w:eastAsiaTheme="minorEastAsia" w:cstheme="minorHAnsi"/>
        </w:rPr>
        <w:t xml:space="preserve">The Contractor shall protect: all hardware, </w:t>
      </w:r>
      <w:proofErr w:type="gramStart"/>
      <w:r w:rsidRPr="00825129">
        <w:rPr>
          <w:rFonts w:eastAsiaTheme="minorEastAsia" w:cstheme="minorHAnsi"/>
        </w:rPr>
        <w:t>accessories</w:t>
      </w:r>
      <w:proofErr w:type="gramEnd"/>
      <w:r w:rsidRPr="00825129">
        <w:rPr>
          <w:rFonts w:eastAsiaTheme="minorEastAsia" w:cstheme="minorHAnsi"/>
        </w:rPr>
        <w:t xml:space="preserve"> and similar items to ensure other near surfaces are free from damage. As an alternative to the above, the Contractor may provide adequate in place protection to ensure their work does not damage in any way the property they are working on.</w:t>
      </w:r>
    </w:p>
    <w:p w14:paraId="2752935A" w14:textId="77777777" w:rsidR="00C850CC" w:rsidRPr="00825129" w:rsidRDefault="00C850CC" w:rsidP="00C850CC">
      <w:pPr>
        <w:numPr>
          <w:ilvl w:val="0"/>
          <w:numId w:val="1"/>
        </w:numPr>
        <w:jc w:val="both"/>
        <w:rPr>
          <w:rFonts w:eastAsiaTheme="minorEastAsia" w:cstheme="minorHAnsi"/>
        </w:rPr>
      </w:pPr>
      <w:r w:rsidRPr="00825129">
        <w:rPr>
          <w:rFonts w:eastAsiaTheme="minorEastAsia" w:cstheme="minorHAnsi"/>
        </w:rPr>
        <w:t xml:space="preserve">The Contractor shall remove all material and debris generated by his operation to a location as directed by the Site Superintendent. Failure to properly discard waste daily shall result in the Owner </w:t>
      </w:r>
      <w:proofErr w:type="spellStart"/>
      <w:r w:rsidRPr="00825129">
        <w:rPr>
          <w:rFonts w:eastAsiaTheme="minorEastAsia" w:cstheme="minorHAnsi"/>
        </w:rPr>
        <w:t>backcharging</w:t>
      </w:r>
      <w:proofErr w:type="spellEnd"/>
      <w:r w:rsidRPr="00825129">
        <w:rPr>
          <w:rFonts w:eastAsiaTheme="minorEastAsia" w:cstheme="minorHAnsi"/>
        </w:rPr>
        <w:t xml:space="preserve"> the Contractor for the costs of the clean-up.</w:t>
      </w:r>
    </w:p>
    <w:p w14:paraId="25EBB1B3" w14:textId="77777777" w:rsidR="00C850CC" w:rsidRPr="00825129" w:rsidRDefault="00C850CC" w:rsidP="00C850CC">
      <w:pPr>
        <w:numPr>
          <w:ilvl w:val="0"/>
          <w:numId w:val="1"/>
        </w:numPr>
        <w:jc w:val="both"/>
        <w:rPr>
          <w:rFonts w:eastAsiaTheme="minorEastAsia" w:cstheme="minorHAnsi"/>
        </w:rPr>
      </w:pPr>
      <w:r w:rsidRPr="00825129">
        <w:rPr>
          <w:rFonts w:eastAsiaTheme="minorEastAsia" w:cstheme="minorHAnsi"/>
        </w:rPr>
        <w:t>The Contractor shall provide to the Owner, prior to starting his work, proof of a Two Million Dollar Liability Insurance naming the Contractor and the Owner jointly for the duration of the contract.</w:t>
      </w:r>
    </w:p>
    <w:p w14:paraId="5E0CD6E0" w14:textId="77777777" w:rsidR="00C850CC" w:rsidRPr="00825129" w:rsidRDefault="00C850CC" w:rsidP="00C850CC">
      <w:pPr>
        <w:numPr>
          <w:ilvl w:val="0"/>
          <w:numId w:val="1"/>
        </w:numPr>
        <w:jc w:val="both"/>
        <w:rPr>
          <w:rFonts w:eastAsiaTheme="minorEastAsia" w:cstheme="minorHAnsi"/>
        </w:rPr>
      </w:pPr>
      <w:r w:rsidRPr="00825129">
        <w:rPr>
          <w:rFonts w:eastAsiaTheme="minorEastAsia" w:cstheme="minorHAnsi"/>
        </w:rPr>
        <w:t>The Contractor shall ensure that all equipment, materials, and workforce employed/used by the Contractor on the job site satisfies, always, the requirement of the Workers Compensation Board and the Owner’s Safety Policy Statement.</w:t>
      </w:r>
    </w:p>
    <w:p w14:paraId="2FD914FC" w14:textId="77777777" w:rsidR="00C850CC" w:rsidRPr="00C850CC" w:rsidRDefault="00C850CC" w:rsidP="00C850CC">
      <w:pPr>
        <w:pStyle w:val="ListParagraph"/>
        <w:jc w:val="center"/>
        <w:rPr>
          <w:b/>
          <w:bCs/>
        </w:rPr>
      </w:pPr>
      <w:r w:rsidRPr="00C850CC">
        <w:rPr>
          <w:b/>
          <w:bCs/>
        </w:rPr>
        <w:t>If the Phoenix Head Office sends you a client Request for Pricing, Phoenix would expect the pricing to be returned within 48 business hours.</w:t>
      </w:r>
    </w:p>
    <w:p w14:paraId="3606D386" w14:textId="77777777" w:rsidR="00C850CC" w:rsidRPr="00C850CC" w:rsidRDefault="00C850CC" w:rsidP="00C850CC">
      <w:pPr>
        <w:pStyle w:val="ListParagraph"/>
        <w:jc w:val="center"/>
        <w:rPr>
          <w:b/>
          <w:bCs/>
        </w:rPr>
      </w:pPr>
    </w:p>
    <w:p w14:paraId="3EED9C90" w14:textId="77777777" w:rsidR="00C850CC" w:rsidRPr="00C850CC" w:rsidRDefault="00C850CC" w:rsidP="00C850CC">
      <w:pPr>
        <w:pStyle w:val="ListParagraph"/>
        <w:jc w:val="center"/>
        <w:rPr>
          <w:b/>
          <w:bCs/>
        </w:rPr>
      </w:pPr>
      <w:r w:rsidRPr="00C850CC">
        <w:rPr>
          <w:b/>
          <w:bCs/>
          <w:color w:val="000000"/>
          <w:shd w:val="clear" w:color="auto" w:fill="FFFFFF"/>
        </w:rPr>
        <w:t>If you do not cancel or reschedule your service appointment with at least 24 hours notice, we may assess a </w:t>
      </w:r>
      <w:r w:rsidRPr="00C850CC">
        <w:rPr>
          <w:b/>
          <w:bCs/>
        </w:rPr>
        <w:t xml:space="preserve">$250.00 “no-show” service </w:t>
      </w:r>
      <w:proofErr w:type="spellStart"/>
      <w:r w:rsidRPr="00C850CC">
        <w:rPr>
          <w:b/>
          <w:bCs/>
        </w:rPr>
        <w:t>backcharge</w:t>
      </w:r>
      <w:proofErr w:type="spellEnd"/>
      <w:r w:rsidRPr="00C850CC">
        <w:rPr>
          <w:b/>
          <w:bCs/>
        </w:rPr>
        <w:t xml:space="preserve"> to your account.</w:t>
      </w:r>
    </w:p>
    <w:p w14:paraId="3C9C14D5" w14:textId="77777777" w:rsidR="00C850CC" w:rsidRDefault="00C850CC" w:rsidP="00C850CC">
      <w:pPr>
        <w:pStyle w:val="ListParagraph"/>
        <w:jc w:val="center"/>
      </w:pPr>
      <w:r w:rsidRPr="00C850CC">
        <w:rPr>
          <w:b/>
          <w:bCs/>
        </w:rPr>
        <w:t>Note a Saturday or Sunday notification for a Monday service call is not valid.</w:t>
      </w:r>
    </w:p>
    <w:p w14:paraId="2D9C27B8" w14:textId="77777777" w:rsidR="00C850CC" w:rsidRPr="00825129" w:rsidRDefault="00C850CC" w:rsidP="00C850CC">
      <w:pPr>
        <w:widowControl w:val="0"/>
        <w:jc w:val="both"/>
        <w:rPr>
          <w:rFonts w:eastAsiaTheme="minorEastAsia" w:cstheme="minorHAnsi"/>
        </w:rPr>
      </w:pPr>
    </w:p>
    <w:p w14:paraId="5AAC773D" w14:textId="77777777" w:rsidR="00C850CC" w:rsidRPr="00825129" w:rsidRDefault="00C850CC" w:rsidP="00C850CC">
      <w:pPr>
        <w:widowControl w:val="0"/>
        <w:jc w:val="both"/>
        <w:rPr>
          <w:rFonts w:eastAsiaTheme="minorEastAsia" w:cstheme="minorHAnsi"/>
        </w:rPr>
      </w:pPr>
    </w:p>
    <w:p w14:paraId="6386DC44" w14:textId="77777777" w:rsidR="000E21D1" w:rsidRDefault="000E21D1"/>
    <w:sectPr w:rsidR="000E21D1" w:rsidSect="00C850C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E24F9"/>
    <w:multiLevelType w:val="hybridMultilevel"/>
    <w:tmpl w:val="F36874DE"/>
    <w:lvl w:ilvl="0" w:tplc="89481EF2">
      <w:start w:val="1"/>
      <w:numFmt w:val="decimal"/>
      <w:lvlText w:val="%1."/>
      <w:lvlJc w:val="left"/>
      <w:pPr>
        <w:ind w:left="720" w:hanging="360"/>
      </w:pPr>
    </w:lvl>
    <w:lvl w:ilvl="1" w:tplc="DB8E7AF2">
      <w:start w:val="1"/>
      <w:numFmt w:val="lowerLetter"/>
      <w:lvlText w:val="%2."/>
      <w:lvlJc w:val="left"/>
      <w:pPr>
        <w:ind w:left="1440" w:hanging="360"/>
      </w:pPr>
      <w:rPr>
        <w:b/>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7378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CC"/>
    <w:rsid w:val="000E21D1"/>
    <w:rsid w:val="00C85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0023"/>
  <w15:chartTrackingRefBased/>
  <w15:docId w15:val="{9D062E1E-BE08-4DF4-824F-C1CA87F0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C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2023-12-14T03:01:00Z</dcterms:created>
  <dcterms:modified xsi:type="dcterms:W3CDTF">2023-12-14T03:03:00Z</dcterms:modified>
</cp:coreProperties>
</file>